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33FE37">
      <w:pPr>
        <w:spacing w:line="324" w:lineRule="auto"/>
        <w:rPr>
          <w:rFonts w:ascii="Arial"/>
          <w:sz w:val="21"/>
        </w:rPr>
      </w:pPr>
    </w:p>
    <w:p w14:paraId="13A05295">
      <w:pPr>
        <w:pStyle w:val="2"/>
        <w:spacing w:before="141" w:line="180" w:lineRule="auto"/>
        <w:ind w:left="1778"/>
        <w:outlineLvl w:val="0"/>
      </w:pPr>
      <w:r>
        <w:rPr>
          <w:b/>
          <w:bCs/>
          <w:spacing w:val="-15"/>
        </w:rPr>
        <w:t>Chinese</w:t>
      </w:r>
      <w:r>
        <w:rPr>
          <w:spacing w:val="-15"/>
        </w:rPr>
        <w:t xml:space="preserve"> </w:t>
      </w:r>
      <w:r>
        <w:rPr>
          <w:b/>
          <w:bCs/>
          <w:spacing w:val="-15"/>
        </w:rPr>
        <w:t>Institute</w:t>
      </w:r>
      <w:r>
        <w:rPr>
          <w:spacing w:val="-25"/>
        </w:rPr>
        <w:t xml:space="preserve"> </w:t>
      </w:r>
      <w:r>
        <w:rPr>
          <w:b/>
          <w:bCs/>
          <w:spacing w:val="-15"/>
        </w:rPr>
        <w:t>for</w:t>
      </w:r>
      <w:r>
        <w:rPr>
          <w:spacing w:val="-15"/>
        </w:rPr>
        <w:t xml:space="preserve"> </w:t>
      </w:r>
      <w:r>
        <w:rPr>
          <w:b/>
          <w:bCs/>
          <w:spacing w:val="-15"/>
        </w:rPr>
        <w:t>Brain</w:t>
      </w:r>
      <w:r>
        <w:rPr>
          <w:spacing w:val="-15"/>
        </w:rPr>
        <w:t xml:space="preserve"> </w:t>
      </w:r>
      <w:r>
        <w:rPr>
          <w:b/>
          <w:bCs/>
          <w:spacing w:val="-15"/>
        </w:rPr>
        <w:t>Research,</w:t>
      </w:r>
      <w:r>
        <w:rPr>
          <w:spacing w:val="-15"/>
        </w:rPr>
        <w:t xml:space="preserve"> </w:t>
      </w:r>
      <w:r>
        <w:rPr>
          <w:b/>
          <w:bCs/>
          <w:spacing w:val="-15"/>
        </w:rPr>
        <w:t>Beij</w:t>
      </w:r>
      <w:r>
        <w:rPr>
          <w:b/>
          <w:bCs/>
          <w:spacing w:val="-16"/>
        </w:rPr>
        <w:t>ing</w:t>
      </w:r>
    </w:p>
    <w:p w14:paraId="74C94731">
      <w:pPr>
        <w:pStyle w:val="2"/>
        <w:spacing w:before="227" w:line="162" w:lineRule="auto"/>
        <w:ind w:left="4217"/>
        <w:outlineLvl w:val="0"/>
      </w:pPr>
      <w:r>
        <w:rPr>
          <w:b/>
          <w:bCs/>
          <w:spacing w:val="-15"/>
        </w:rPr>
        <w:t>Seminar</w:t>
      </w:r>
    </w:p>
    <w:p w14:paraId="5697DCAD">
      <w:pPr>
        <w:spacing w:before="150"/>
      </w:pPr>
    </w:p>
    <w:tbl>
      <w:tblPr>
        <w:tblStyle w:val="5"/>
        <w:tblW w:w="933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25"/>
        <w:gridCol w:w="5105"/>
        <w:gridCol w:w="2109"/>
      </w:tblGrid>
      <w:tr w14:paraId="19F34349">
        <w:trPr>
          <w:trHeight w:val="630" w:hRule="atLeast"/>
        </w:trPr>
        <w:tc>
          <w:tcPr>
            <w:tcW w:w="2125" w:type="dxa"/>
            <w:shd w:val="clear" w:color="auto" w:fill="2E74B5"/>
            <w:vAlign w:val="top"/>
          </w:tcPr>
          <w:p w14:paraId="6DD2EB61">
            <w:pPr>
              <w:spacing w:before="215" w:line="187" w:lineRule="auto"/>
              <w:ind w:left="724"/>
              <w:rPr>
                <w:rFonts w:ascii="Baskerville" w:hAnsi="Baskerville" w:eastAsia="Baskerville" w:cs="Baskerville"/>
                <w:sz w:val="31"/>
                <w:szCs w:val="31"/>
              </w:rPr>
            </w:pPr>
            <w:r>
              <w:rPr>
                <w:rFonts w:ascii="Baskerville" w:hAnsi="Baskerville" w:eastAsia="Baskerville" w:cs="Baskerville"/>
                <w:b/>
                <w:bCs/>
                <w:color w:val="FFFFFF"/>
                <w:spacing w:val="3"/>
                <w:sz w:val="31"/>
                <w:szCs w:val="31"/>
              </w:rPr>
              <w:t>Type</w:t>
            </w:r>
          </w:p>
        </w:tc>
        <w:tc>
          <w:tcPr>
            <w:tcW w:w="7214" w:type="dxa"/>
            <w:gridSpan w:val="2"/>
            <w:shd w:val="clear" w:color="auto" w:fill="2E74B5"/>
            <w:vAlign w:val="top"/>
          </w:tcPr>
          <w:p w14:paraId="7C337C86">
            <w:pPr>
              <w:spacing w:before="216" w:line="229" w:lineRule="auto"/>
              <w:ind w:left="432"/>
              <w:rPr>
                <w:rFonts w:ascii="Baskerville" w:hAnsi="Baskerville" w:eastAsia="Baskerville" w:cs="Baskerville"/>
                <w:sz w:val="31"/>
                <w:szCs w:val="31"/>
              </w:rPr>
            </w:pPr>
            <w:r>
              <w:rPr>
                <w:rFonts w:ascii="Baskerville" w:hAnsi="Baskerville" w:eastAsia="Baskerville" w:cs="Baskerville"/>
                <w:b/>
                <w:bCs/>
                <w:color w:val="FFFFFF"/>
                <w:spacing w:val="9"/>
                <w:sz w:val="31"/>
                <w:szCs w:val="31"/>
              </w:rPr>
              <w:t>Invited</w:t>
            </w:r>
            <w:r>
              <w:rPr>
                <w:rFonts w:ascii="Baskerville" w:hAnsi="Baskerville" w:eastAsia="Baskerville" w:cs="Baskerville"/>
                <w:color w:val="FFFFFF"/>
                <w:spacing w:val="9"/>
                <w:sz w:val="31"/>
                <w:szCs w:val="31"/>
              </w:rPr>
              <w:t xml:space="preserve"> </w:t>
            </w:r>
            <w:r>
              <w:rPr>
                <w:rFonts w:ascii="Baskerville" w:hAnsi="Baskerville" w:eastAsia="Baskerville" w:cs="Baskerville"/>
                <w:b/>
                <w:bCs/>
                <w:color w:val="FFFFFF"/>
                <w:spacing w:val="9"/>
                <w:sz w:val="31"/>
                <w:szCs w:val="31"/>
              </w:rPr>
              <w:t>Talk</w:t>
            </w:r>
          </w:p>
        </w:tc>
      </w:tr>
      <w:tr w14:paraId="27072D9D">
        <w:trPr>
          <w:trHeight w:val="625" w:hRule="atLeast"/>
        </w:trPr>
        <w:tc>
          <w:tcPr>
            <w:tcW w:w="2125" w:type="dxa"/>
            <w:shd w:val="clear" w:color="auto" w:fill="2E74B5"/>
            <w:vAlign w:val="top"/>
          </w:tcPr>
          <w:p w14:paraId="6CBCCA51">
            <w:pPr>
              <w:spacing w:before="216" w:line="188" w:lineRule="auto"/>
              <w:ind w:left="745"/>
              <w:rPr>
                <w:rFonts w:ascii="Baskerville" w:hAnsi="Baskerville" w:eastAsia="Baskerville" w:cs="Baskerville"/>
                <w:sz w:val="31"/>
                <w:szCs w:val="31"/>
              </w:rPr>
            </w:pPr>
            <w:r>
              <w:rPr>
                <w:rFonts w:ascii="Baskerville" w:hAnsi="Baskerville" w:eastAsia="Baskerville" w:cs="Baskerville"/>
                <w:b/>
                <w:bCs/>
                <w:color w:val="FFFFFF"/>
                <w:spacing w:val="5"/>
                <w:sz w:val="31"/>
                <w:szCs w:val="31"/>
              </w:rPr>
              <w:t>Host</w:t>
            </w:r>
          </w:p>
        </w:tc>
        <w:tc>
          <w:tcPr>
            <w:tcW w:w="7214" w:type="dxa"/>
            <w:gridSpan w:val="2"/>
            <w:shd w:val="clear" w:color="auto" w:fill="2E74B5"/>
            <w:vAlign w:val="top"/>
          </w:tcPr>
          <w:p w14:paraId="4AF65765">
            <w:pPr>
              <w:spacing w:before="211" w:line="187" w:lineRule="auto"/>
              <w:ind w:left="427"/>
              <w:rPr>
                <w:rFonts w:hint="default" w:ascii="Baskerville" w:hAnsi="Baskerville" w:eastAsia="Baskerville" w:cs="Baskerville"/>
                <w:sz w:val="31"/>
                <w:szCs w:val="31"/>
                <w:lang w:val="en-US"/>
              </w:rPr>
            </w:pPr>
            <w:r>
              <w:rPr>
                <w:rFonts w:ascii="Baskerville" w:hAnsi="Baskerville" w:eastAsia="Baskerville" w:cs="Baskerville"/>
                <w:b/>
                <w:bCs/>
                <w:color w:val="FFFFFF"/>
                <w:spacing w:val="7"/>
                <w:sz w:val="31"/>
                <w:szCs w:val="31"/>
              </w:rPr>
              <w:t>Dr.</w:t>
            </w:r>
            <w:r>
              <w:rPr>
                <w:rFonts w:ascii="Baskerville" w:hAnsi="Baskerville" w:eastAsia="Baskerville" w:cs="Baskerville"/>
                <w:color w:val="FFFFFF"/>
                <w:spacing w:val="7"/>
                <w:sz w:val="31"/>
                <w:szCs w:val="31"/>
              </w:rPr>
              <w:t xml:space="preserve"> </w:t>
            </w:r>
            <w:r>
              <w:rPr>
                <w:rFonts w:hint="default" w:ascii="Baskerville" w:hAnsi="Baskerville" w:eastAsia="Baskerville" w:cs="Baskerville"/>
                <w:b/>
                <w:bCs/>
                <w:color w:val="FFFFFF"/>
                <w:spacing w:val="7"/>
                <w:sz w:val="31"/>
                <w:szCs w:val="31"/>
                <w:lang w:val="en-US"/>
              </w:rPr>
              <w:t>Wei Xiong</w:t>
            </w:r>
          </w:p>
        </w:tc>
      </w:tr>
      <w:tr w14:paraId="2D1BD55F">
        <w:trPr>
          <w:trHeight w:val="803" w:hRule="atLeast"/>
        </w:trPr>
        <w:tc>
          <w:tcPr>
            <w:tcW w:w="2125" w:type="dxa"/>
            <w:shd w:val="clear" w:color="auto" w:fill="F4B083"/>
            <w:vAlign w:val="top"/>
          </w:tcPr>
          <w:p w14:paraId="04550C20">
            <w:pPr>
              <w:spacing w:before="303" w:line="191" w:lineRule="auto"/>
              <w:ind w:left="714"/>
              <w:rPr>
                <w:rFonts w:ascii="Baskerville" w:hAnsi="Baskerville" w:eastAsia="Baskerville" w:cs="Baskerville"/>
                <w:sz w:val="31"/>
                <w:szCs w:val="31"/>
              </w:rPr>
            </w:pPr>
            <w:r>
              <w:rPr>
                <w:rFonts w:ascii="Baskerville" w:hAnsi="Baskerville" w:eastAsia="Baskerville" w:cs="Baskerville"/>
                <w:b/>
                <w:bCs/>
                <w:spacing w:val="1"/>
                <w:sz w:val="31"/>
                <w:szCs w:val="31"/>
              </w:rPr>
              <w:t>Time</w:t>
            </w:r>
          </w:p>
        </w:tc>
        <w:tc>
          <w:tcPr>
            <w:tcW w:w="7214" w:type="dxa"/>
            <w:gridSpan w:val="2"/>
            <w:shd w:val="clear" w:color="auto" w:fill="F4B083"/>
            <w:vAlign w:val="top"/>
          </w:tcPr>
          <w:p w14:paraId="6101ADA6">
            <w:pPr>
              <w:spacing w:before="309" w:line="182" w:lineRule="auto"/>
              <w:ind w:left="405"/>
              <w:rPr>
                <w:rFonts w:ascii="Baskerville" w:hAnsi="Baskerville" w:eastAsia="Baskerville" w:cs="Baskerville"/>
                <w:sz w:val="30"/>
                <w:szCs w:val="30"/>
              </w:rPr>
            </w:pPr>
            <w:r>
              <w:rPr>
                <w:rFonts w:ascii="Baskerville" w:hAnsi="Baskerville" w:eastAsia="Baskerville" w:cs="Baskerville"/>
                <w:b/>
                <w:bCs/>
                <w:spacing w:val="2"/>
                <w:sz w:val="30"/>
                <w:szCs w:val="30"/>
              </w:rPr>
              <w:t>10:00-11:00,</w:t>
            </w:r>
            <w:r>
              <w:rPr>
                <w:rFonts w:ascii="Baskerville" w:hAnsi="Baskerville" w:eastAsia="Baskerville" w:cs="Baskerville"/>
                <w:spacing w:val="2"/>
                <w:sz w:val="30"/>
                <w:szCs w:val="30"/>
              </w:rPr>
              <w:t xml:space="preserve"> </w:t>
            </w:r>
            <w:r>
              <w:rPr>
                <w:rFonts w:ascii="Baskerville" w:hAnsi="Baskerville" w:eastAsia="Baskerville" w:cs="Baskerville"/>
                <w:b/>
                <w:bCs/>
                <w:color w:val="EE0000"/>
                <w:sz w:val="30"/>
                <w:szCs w:val="30"/>
              </w:rPr>
              <w:t>Friday</w:t>
            </w:r>
            <w:r>
              <w:rPr>
                <w:rFonts w:ascii="Baskerville" w:hAnsi="Baskerville" w:eastAsia="Baskerville" w:cs="Baskerville"/>
                <w:b/>
                <w:bCs/>
                <w:color w:val="EE0000"/>
                <w:spacing w:val="2"/>
                <w:sz w:val="30"/>
                <w:szCs w:val="30"/>
              </w:rPr>
              <w:t>,</w:t>
            </w:r>
            <w:r>
              <w:rPr>
                <w:rFonts w:ascii="Baskerville" w:hAnsi="Baskerville" w:eastAsia="Baskerville" w:cs="Baskerville"/>
                <w:color w:val="EE0000"/>
                <w:spacing w:val="2"/>
                <w:sz w:val="30"/>
                <w:szCs w:val="30"/>
              </w:rPr>
              <w:t xml:space="preserve"> </w:t>
            </w:r>
            <w:r>
              <w:rPr>
                <w:rFonts w:ascii="Baskerville" w:hAnsi="Baskerville" w:eastAsia="Baskerville" w:cs="Baskerville"/>
                <w:b/>
                <w:bCs/>
                <w:color w:val="EE0000"/>
                <w:sz w:val="30"/>
                <w:szCs w:val="30"/>
              </w:rPr>
              <w:t>October</w:t>
            </w:r>
            <w:r>
              <w:rPr>
                <w:rFonts w:ascii="Baskerville" w:hAnsi="Baskerville" w:eastAsia="Baskerville" w:cs="Baskerville"/>
                <w:color w:val="EE0000"/>
                <w:spacing w:val="2"/>
                <w:sz w:val="30"/>
                <w:szCs w:val="30"/>
              </w:rPr>
              <w:t xml:space="preserve"> </w:t>
            </w:r>
            <w:r>
              <w:rPr>
                <w:rFonts w:hint="default" w:ascii="Baskerville Bold" w:hAnsi="Baskerville Bold" w:eastAsia="Baskerville" w:cs="Baskerville Bold"/>
                <w:b/>
                <w:bCs/>
                <w:color w:val="EE0000"/>
                <w:spacing w:val="2"/>
                <w:sz w:val="30"/>
                <w:szCs w:val="30"/>
                <w:lang w:val="en-US"/>
              </w:rPr>
              <w:t>9</w:t>
            </w:r>
            <w:r>
              <w:rPr>
                <w:rFonts w:ascii="Baskerville" w:hAnsi="Baskerville" w:eastAsia="Baskerville" w:cs="Baskerville"/>
                <w:b/>
                <w:bCs/>
                <w:color w:val="EE0000"/>
                <w:spacing w:val="2"/>
                <w:sz w:val="30"/>
                <w:szCs w:val="30"/>
              </w:rPr>
              <w:t>,</w:t>
            </w:r>
            <w:r>
              <w:rPr>
                <w:rFonts w:ascii="Baskerville" w:hAnsi="Baskerville" w:eastAsia="Baskerville" w:cs="Baskerville"/>
                <w:color w:val="EE0000"/>
                <w:spacing w:val="2"/>
                <w:sz w:val="30"/>
                <w:szCs w:val="30"/>
              </w:rPr>
              <w:t xml:space="preserve"> </w:t>
            </w:r>
            <w:r>
              <w:rPr>
                <w:rFonts w:ascii="Baskerville" w:hAnsi="Baskerville" w:eastAsia="Baskerville" w:cs="Baskerville"/>
                <w:b/>
                <w:bCs/>
                <w:color w:val="EE0000"/>
                <w:spacing w:val="2"/>
                <w:sz w:val="30"/>
                <w:szCs w:val="30"/>
              </w:rPr>
              <w:t>2026</w:t>
            </w:r>
          </w:p>
        </w:tc>
      </w:tr>
      <w:tr w14:paraId="2E226453">
        <w:trPr>
          <w:trHeight w:val="628" w:hRule="atLeast"/>
        </w:trPr>
        <w:tc>
          <w:tcPr>
            <w:tcW w:w="2125" w:type="dxa"/>
            <w:shd w:val="clear" w:color="auto" w:fill="F4B083"/>
            <w:vAlign w:val="top"/>
          </w:tcPr>
          <w:p w14:paraId="3CBB7526">
            <w:pPr>
              <w:spacing w:before="214" w:line="191" w:lineRule="auto"/>
              <w:ind w:left="435"/>
              <w:rPr>
                <w:rFonts w:ascii="Baskerville" w:hAnsi="Baskerville" w:eastAsia="Baskerville" w:cs="Baskerville"/>
                <w:sz w:val="31"/>
                <w:szCs w:val="31"/>
              </w:rPr>
            </w:pPr>
            <w:r>
              <w:rPr>
                <w:rFonts w:ascii="Baskerville" w:hAnsi="Baskerville" w:eastAsia="Baskerville" w:cs="Baskerville"/>
                <w:b/>
                <w:bCs/>
                <w:spacing w:val="8"/>
                <w:sz w:val="31"/>
                <w:szCs w:val="31"/>
              </w:rPr>
              <w:t>Location</w:t>
            </w:r>
          </w:p>
        </w:tc>
        <w:tc>
          <w:tcPr>
            <w:tcW w:w="7214" w:type="dxa"/>
            <w:gridSpan w:val="2"/>
            <w:shd w:val="clear" w:color="auto" w:fill="F4B083"/>
            <w:vAlign w:val="top"/>
          </w:tcPr>
          <w:p w14:paraId="051D8AA3">
            <w:pPr>
              <w:spacing w:before="219" w:line="197" w:lineRule="auto"/>
              <w:ind w:left="428"/>
              <w:rPr>
                <w:rFonts w:ascii="Baskerville" w:hAnsi="Baskerville" w:eastAsia="Baskerville" w:cs="Baskerville"/>
                <w:sz w:val="31"/>
                <w:szCs w:val="31"/>
              </w:rPr>
            </w:pPr>
            <w:r>
              <w:rPr>
                <w:rFonts w:ascii="Baskerville" w:hAnsi="Baskerville" w:eastAsia="Baskerville" w:cs="Baskerville"/>
                <w:b/>
                <w:bCs/>
                <w:spacing w:val="11"/>
                <w:sz w:val="31"/>
                <w:szCs w:val="31"/>
              </w:rPr>
              <w:t>X102,</w:t>
            </w:r>
            <w:r>
              <w:rPr>
                <w:rFonts w:ascii="Baskerville" w:hAnsi="Baskerville" w:eastAsia="Baskerville" w:cs="Baskerville"/>
                <w:spacing w:val="11"/>
                <w:sz w:val="31"/>
                <w:szCs w:val="31"/>
              </w:rPr>
              <w:t xml:space="preserve"> </w:t>
            </w:r>
            <w:r>
              <w:rPr>
                <w:rFonts w:ascii="Baskerville" w:hAnsi="Baskerville" w:eastAsia="Baskerville" w:cs="Baskerville"/>
                <w:b/>
                <w:bCs/>
                <w:sz w:val="31"/>
                <w:szCs w:val="31"/>
              </w:rPr>
              <w:t>Phase</w:t>
            </w:r>
            <w:r>
              <w:rPr>
                <w:rFonts w:ascii="Baskerville" w:hAnsi="Baskerville" w:eastAsia="Baskerville" w:cs="Baskerville"/>
                <w:spacing w:val="11"/>
                <w:sz w:val="31"/>
                <w:szCs w:val="31"/>
              </w:rPr>
              <w:t xml:space="preserve"> </w:t>
            </w:r>
            <w:r>
              <w:rPr>
                <w:rFonts w:ascii="Baskerville" w:hAnsi="Baskerville" w:eastAsia="Baskerville" w:cs="Baskerville"/>
                <w:b/>
                <w:bCs/>
                <w:sz w:val="31"/>
                <w:szCs w:val="31"/>
              </w:rPr>
              <w:t>II</w:t>
            </w:r>
          </w:p>
        </w:tc>
      </w:tr>
      <w:tr w14:paraId="5CBF7C64">
        <w:trPr>
          <w:trHeight w:val="625" w:hRule="atLeast"/>
        </w:trPr>
        <w:tc>
          <w:tcPr>
            <w:tcW w:w="2125" w:type="dxa"/>
            <w:shd w:val="clear" w:color="auto" w:fill="F4B083"/>
            <w:vAlign w:val="top"/>
          </w:tcPr>
          <w:p w14:paraId="0E3EEA86">
            <w:pPr>
              <w:spacing w:before="212" w:line="187" w:lineRule="auto"/>
              <w:ind w:left="435"/>
              <w:rPr>
                <w:rFonts w:ascii="Baskerville" w:hAnsi="Baskerville" w:eastAsia="Baskerville" w:cs="Baskerville"/>
                <w:sz w:val="31"/>
                <w:szCs w:val="31"/>
              </w:rPr>
            </w:pPr>
            <w:r>
              <w:rPr>
                <w:rFonts w:ascii="Baskerville" w:hAnsi="Baskerville" w:eastAsia="Baskerville" w:cs="Baskerville"/>
                <w:b/>
                <w:bCs/>
                <w:spacing w:val="11"/>
                <w:sz w:val="31"/>
                <w:szCs w:val="31"/>
              </w:rPr>
              <w:t>Language</w:t>
            </w:r>
          </w:p>
        </w:tc>
        <w:tc>
          <w:tcPr>
            <w:tcW w:w="7214" w:type="dxa"/>
            <w:gridSpan w:val="2"/>
            <w:shd w:val="clear" w:color="auto" w:fill="F4B083"/>
            <w:vAlign w:val="top"/>
          </w:tcPr>
          <w:p w14:paraId="2B28C3C2">
            <w:pPr>
              <w:spacing w:before="217" w:line="187" w:lineRule="auto"/>
              <w:ind w:left="432"/>
              <w:rPr>
                <w:rFonts w:ascii="Baskerville" w:hAnsi="Baskerville" w:eastAsia="Baskerville" w:cs="Baskerville"/>
                <w:sz w:val="31"/>
                <w:szCs w:val="31"/>
              </w:rPr>
            </w:pPr>
            <w:r>
              <w:rPr>
                <w:rFonts w:ascii="Baskerville" w:hAnsi="Baskerville" w:eastAsia="Baskerville" w:cs="Baskerville"/>
                <w:b/>
                <w:bCs/>
                <w:spacing w:val="11"/>
                <w:sz w:val="31"/>
                <w:szCs w:val="31"/>
              </w:rPr>
              <w:t>English</w:t>
            </w:r>
          </w:p>
        </w:tc>
      </w:tr>
      <w:tr w14:paraId="0768CE3A">
        <w:trPr>
          <w:trHeight w:val="2843" w:hRule="atLeast"/>
        </w:trPr>
        <w:tc>
          <w:tcPr>
            <w:tcW w:w="2125" w:type="dxa"/>
            <w:shd w:val="clear" w:color="auto" w:fill="F4B083"/>
            <w:vAlign w:val="top"/>
          </w:tcPr>
          <w:p w14:paraId="1B134B6C">
            <w:pPr>
              <w:spacing w:line="297" w:lineRule="auto"/>
              <w:rPr>
                <w:rFonts w:ascii="Arial"/>
                <w:sz w:val="21"/>
              </w:rPr>
            </w:pPr>
          </w:p>
          <w:p w14:paraId="10EC9CB1">
            <w:pPr>
              <w:spacing w:line="298" w:lineRule="auto"/>
              <w:rPr>
                <w:rFonts w:ascii="Arial"/>
                <w:sz w:val="21"/>
              </w:rPr>
            </w:pPr>
          </w:p>
          <w:p w14:paraId="25CBF744">
            <w:pPr>
              <w:spacing w:line="298" w:lineRule="auto"/>
              <w:rPr>
                <w:rFonts w:ascii="Arial"/>
                <w:sz w:val="21"/>
              </w:rPr>
            </w:pPr>
          </w:p>
          <w:p w14:paraId="66C3ED3F">
            <w:pPr>
              <w:spacing w:line="298" w:lineRule="auto"/>
              <w:rPr>
                <w:rFonts w:ascii="Arial"/>
                <w:sz w:val="21"/>
              </w:rPr>
            </w:pPr>
          </w:p>
          <w:p w14:paraId="2E1BD50E">
            <w:pPr>
              <w:spacing w:before="101" w:line="187" w:lineRule="auto"/>
              <w:ind w:left="515"/>
              <w:rPr>
                <w:rFonts w:ascii="Baskerville" w:hAnsi="Baskerville" w:eastAsia="Baskerville" w:cs="Baskerville"/>
                <w:sz w:val="31"/>
                <w:szCs w:val="31"/>
              </w:rPr>
            </w:pPr>
            <w:r>
              <w:rPr>
                <w:rFonts w:ascii="Baskerville" w:hAnsi="Baskerville" w:eastAsia="Baskerville" w:cs="Baskerville"/>
                <w:b/>
                <w:bCs/>
                <w:spacing w:val="11"/>
                <w:sz w:val="31"/>
                <w:szCs w:val="31"/>
              </w:rPr>
              <w:t>Speaker</w:t>
            </w:r>
          </w:p>
        </w:tc>
        <w:tc>
          <w:tcPr>
            <w:tcW w:w="5105" w:type="dxa"/>
            <w:shd w:val="clear" w:color="auto" w:fill="F4B083"/>
            <w:vAlign w:val="top"/>
          </w:tcPr>
          <w:p w14:paraId="34A1B04F">
            <w:pPr>
              <w:spacing w:line="287" w:lineRule="auto"/>
              <w:rPr>
                <w:rFonts w:ascii="Arial"/>
                <w:sz w:val="21"/>
              </w:rPr>
            </w:pPr>
          </w:p>
          <w:p w14:paraId="11E2145C">
            <w:pPr>
              <w:spacing w:line="287" w:lineRule="auto"/>
              <w:rPr>
                <w:rFonts w:ascii="Arial"/>
                <w:sz w:val="21"/>
              </w:rPr>
            </w:pPr>
          </w:p>
          <w:p w14:paraId="2361F533">
            <w:pPr>
              <w:pStyle w:val="6"/>
              <w:spacing w:before="81" w:line="197" w:lineRule="auto"/>
              <w:rPr>
                <w:spacing w:val="12"/>
                <w:sz w:val="25"/>
                <w:szCs w:val="25"/>
              </w:rPr>
            </w:pPr>
            <w:r>
              <w:rPr>
                <w:rFonts w:ascii="Baskerville" w:hAnsi="Baskerville" w:eastAsia="Baskerville" w:cs="Baskerville"/>
                <w:b/>
                <w:bCs/>
                <w:sz w:val="25"/>
                <w:szCs w:val="25"/>
              </w:rPr>
              <w:t>Name</w:t>
            </w:r>
            <w:r>
              <w:rPr>
                <w:rFonts w:ascii="Baskerville" w:hAnsi="Baskerville" w:eastAsia="Baskerville" w:cs="Baskerville"/>
                <w:b/>
                <w:bCs/>
                <w:spacing w:val="12"/>
                <w:sz w:val="25"/>
                <w:szCs w:val="25"/>
              </w:rPr>
              <w:t>:</w:t>
            </w:r>
            <w:r>
              <w:rPr>
                <w:rFonts w:ascii="Baskerville" w:hAnsi="Baskerville" w:eastAsia="Baskerville" w:cs="Baskerville"/>
                <w:spacing w:val="12"/>
                <w:sz w:val="25"/>
                <w:szCs w:val="25"/>
              </w:rPr>
              <w:t xml:space="preserve"> </w:t>
            </w:r>
            <w:r>
              <w:rPr>
                <w:rFonts w:hint="default"/>
                <w:sz w:val="25"/>
                <w:szCs w:val="25"/>
                <w:lang w:val="en-US"/>
              </w:rPr>
              <w:t>Xiaowei Lu</w:t>
            </w:r>
            <w:r>
              <w:rPr>
                <w:spacing w:val="12"/>
                <w:sz w:val="25"/>
                <w:szCs w:val="25"/>
              </w:rPr>
              <w:t xml:space="preserve">, </w:t>
            </w:r>
            <w:r>
              <w:rPr>
                <w:sz w:val="25"/>
                <w:szCs w:val="25"/>
              </w:rPr>
              <w:t>Ph</w:t>
            </w:r>
            <w:r>
              <w:rPr>
                <w:spacing w:val="12"/>
                <w:sz w:val="25"/>
                <w:szCs w:val="25"/>
              </w:rPr>
              <w:t>.D.</w:t>
            </w:r>
          </w:p>
          <w:p w14:paraId="026B8D62">
            <w:pPr>
              <w:pStyle w:val="6"/>
              <w:spacing w:before="81" w:line="197" w:lineRule="auto"/>
              <w:rPr>
                <w:spacing w:val="12"/>
                <w:sz w:val="25"/>
                <w:szCs w:val="25"/>
              </w:rPr>
            </w:pPr>
          </w:p>
          <w:p w14:paraId="2210BB00">
            <w:pPr>
              <w:pStyle w:val="6"/>
              <w:spacing w:before="81" w:line="197" w:lineRule="auto"/>
              <w:rPr>
                <w:rFonts w:hint="default"/>
                <w:spacing w:val="12"/>
                <w:sz w:val="25"/>
                <w:szCs w:val="25"/>
                <w:lang w:val="en-US"/>
              </w:rPr>
            </w:pPr>
            <w:r>
              <w:rPr>
                <w:rFonts w:hint="default" w:ascii="Baskerville" w:hAnsi="Baskerville" w:eastAsia="Baskerville" w:cs="Baskerville"/>
                <w:b/>
                <w:bCs/>
                <w:sz w:val="25"/>
                <w:szCs w:val="25"/>
                <w:lang w:val="en-US"/>
              </w:rPr>
              <w:t>Title:</w:t>
            </w:r>
            <w:r>
              <w:rPr>
                <w:rFonts w:hint="default"/>
                <w:spacing w:val="12"/>
                <w:sz w:val="25"/>
                <w:szCs w:val="25"/>
                <w:lang w:val="en-US"/>
              </w:rPr>
              <w:t xml:space="preserve"> Professor</w:t>
            </w:r>
          </w:p>
          <w:p w14:paraId="12624F54">
            <w:pPr>
              <w:pStyle w:val="6"/>
              <w:spacing w:before="81" w:line="197" w:lineRule="auto"/>
              <w:ind w:left="107"/>
              <w:rPr>
                <w:spacing w:val="12"/>
                <w:sz w:val="25"/>
                <w:szCs w:val="25"/>
              </w:rPr>
            </w:pPr>
          </w:p>
          <w:p w14:paraId="09607923">
            <w:pPr>
              <w:keepNext w:val="0"/>
              <w:keepLines w:val="0"/>
              <w:widowControl/>
              <w:suppressLineNumbers w:val="0"/>
              <w:spacing w:before="0" w:beforeAutospacing="0" w:after="0" w:afterAutospacing="0" w:line="240" w:lineRule="auto"/>
              <w:ind w:left="0" w:right="0"/>
              <w:jc w:val="left"/>
              <w:rPr>
                <w:rFonts w:hint="default" w:ascii="Times New Roman" w:hAnsi="Times New Roman" w:eastAsia="Times New Roman" w:cs="Times New Roman"/>
                <w:snapToGrid w:val="0"/>
                <w:color w:val="000000"/>
                <w:kern w:val="0"/>
                <w:sz w:val="25"/>
                <w:szCs w:val="25"/>
                <w:lang w:val="en-US" w:eastAsia="en-US" w:bidi="ar-SA"/>
              </w:rPr>
            </w:pPr>
            <w:r>
              <w:rPr>
                <w:rFonts w:ascii="Baskerville" w:hAnsi="Baskerville" w:eastAsia="Baskerville" w:cs="Baskerville"/>
                <w:b/>
                <w:bCs/>
                <w:spacing w:val="3"/>
                <w:sz w:val="25"/>
                <w:szCs w:val="25"/>
              </w:rPr>
              <w:t>Affiliation:</w:t>
            </w:r>
            <w:r>
              <w:rPr>
                <w:rFonts w:ascii="Baskerville" w:hAnsi="Baskerville" w:eastAsia="Baskerville" w:cs="Baskerville"/>
                <w:spacing w:val="3"/>
                <w:sz w:val="25"/>
                <w:szCs w:val="25"/>
              </w:rPr>
              <w:t xml:space="preserve"> </w:t>
            </w:r>
            <w:r>
              <w:rPr>
                <w:rFonts w:hint="default" w:ascii="Times New Roman" w:hAnsi="Times New Roman" w:eastAsia="Times New Roman" w:cs="Times New Roman"/>
                <w:snapToGrid w:val="0"/>
                <w:color w:val="000000"/>
                <w:kern w:val="0"/>
                <w:sz w:val="25"/>
                <w:szCs w:val="25"/>
                <w:lang w:val="en-US" w:eastAsia="zh-CN" w:bidi="ar-SA"/>
              </w:rPr>
              <w:t>Department of Cell Biology at the University of Virginia (UVA</w:t>
            </w:r>
            <w:r>
              <w:rPr>
                <w:rFonts w:hint="default" w:ascii="Aptos" w:hAnsi="Aptos" w:eastAsia="宋体" w:cs="宋体"/>
                <w:snapToGrid w:val="0"/>
                <w:color w:val="000000"/>
                <w:kern w:val="0"/>
                <w:sz w:val="21"/>
                <w:szCs w:val="21"/>
                <w:lang w:val="en-US" w:eastAsia="zh-CN" w:bidi="ar"/>
              </w:rPr>
              <w:t>)</w:t>
            </w:r>
          </w:p>
          <w:p w14:paraId="5845EB2C">
            <w:pPr>
              <w:pStyle w:val="6"/>
              <w:spacing w:before="47" w:line="268" w:lineRule="auto"/>
              <w:ind w:left="112" w:right="904" w:hanging="7"/>
              <w:rPr>
                <w:sz w:val="24"/>
                <w:szCs w:val="24"/>
              </w:rPr>
            </w:pPr>
          </w:p>
        </w:tc>
        <w:tc>
          <w:tcPr>
            <w:tcW w:w="2109" w:type="dxa"/>
            <w:shd w:val="clear" w:color="auto" w:fill="F4B083"/>
            <w:vAlign w:val="top"/>
          </w:tcPr>
          <w:p w14:paraId="3FA24751">
            <w:pPr>
              <w:spacing w:line="2397" w:lineRule="exact"/>
              <w:rPr>
                <w:rFonts w:hint="default"/>
                <w:lang w:val="en-US"/>
              </w:rPr>
            </w:pPr>
            <w:r>
              <w:rPr>
                <w:rFonts w:hint="default"/>
                <w:lang w:val="en-US"/>
              </w:rPr>
              <w:drawing>
                <wp:anchor distT="0" distB="0" distL="114300" distR="114300" simplePos="0" relativeHeight="251659264" behindDoc="0" locked="0" layoutInCell="1" allowOverlap="1">
                  <wp:simplePos x="0" y="0"/>
                  <wp:positionH relativeFrom="column">
                    <wp:posOffset>20320</wp:posOffset>
                  </wp:positionH>
                  <wp:positionV relativeFrom="paragraph">
                    <wp:posOffset>48895</wp:posOffset>
                  </wp:positionV>
                  <wp:extent cx="1322705" cy="1418590"/>
                  <wp:effectExtent l="0" t="0" r="23495" b="3810"/>
                  <wp:wrapNone/>
                  <wp:docPr id="1" name="图片 1" descr="Xiaowei-L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Xiaowei-Lu"/>
                          <pic:cNvPicPr>
                            <a:picLocks noChangeAspect="1"/>
                          </pic:cNvPicPr>
                        </pic:nvPicPr>
                        <pic:blipFill>
                          <a:blip r:embed="rId9"/>
                          <a:stretch>
                            <a:fillRect/>
                          </a:stretch>
                        </pic:blipFill>
                        <pic:spPr>
                          <a:xfrm>
                            <a:off x="0" y="0"/>
                            <a:ext cx="1322705" cy="1418590"/>
                          </a:xfrm>
                          <a:prstGeom prst="rect">
                            <a:avLst/>
                          </a:prstGeom>
                        </pic:spPr>
                      </pic:pic>
                    </a:graphicData>
                  </a:graphic>
                </wp:anchor>
              </w:drawing>
            </w:r>
          </w:p>
        </w:tc>
      </w:tr>
      <w:tr w14:paraId="22DFAB95">
        <w:trPr>
          <w:trHeight w:val="1366" w:hRule="atLeast"/>
        </w:trPr>
        <w:tc>
          <w:tcPr>
            <w:tcW w:w="2125" w:type="dxa"/>
            <w:vAlign w:val="top"/>
          </w:tcPr>
          <w:p w14:paraId="51BDC2DB">
            <w:pPr>
              <w:spacing w:line="405" w:lineRule="auto"/>
              <w:rPr>
                <w:rFonts w:ascii="Arial"/>
                <w:sz w:val="21"/>
              </w:rPr>
            </w:pPr>
          </w:p>
          <w:p w14:paraId="7AA1D599">
            <w:pPr>
              <w:spacing w:before="92" w:line="225" w:lineRule="auto"/>
              <w:ind w:left="473"/>
              <w:rPr>
                <w:rFonts w:ascii="Baskerville" w:hAnsi="Baskerville" w:eastAsia="Baskerville" w:cs="Baskerville"/>
                <w:sz w:val="28"/>
                <w:szCs w:val="28"/>
              </w:rPr>
            </w:pPr>
            <w:r>
              <w:rPr>
                <w:rFonts w:ascii="Baskerville" w:hAnsi="Baskerville" w:eastAsia="Baskerville" w:cs="Baskerville"/>
                <w:b/>
                <w:bCs/>
                <w:spacing w:val="2"/>
                <w:sz w:val="28"/>
                <w:szCs w:val="28"/>
              </w:rPr>
              <w:t>Talk</w:t>
            </w:r>
            <w:r>
              <w:rPr>
                <w:rFonts w:ascii="Baskerville" w:hAnsi="Baskerville" w:eastAsia="Baskerville" w:cs="Baskerville"/>
                <w:spacing w:val="2"/>
                <w:sz w:val="28"/>
                <w:szCs w:val="28"/>
              </w:rPr>
              <w:t xml:space="preserve"> </w:t>
            </w:r>
            <w:r>
              <w:rPr>
                <w:rFonts w:ascii="Baskerville" w:hAnsi="Baskerville" w:eastAsia="Baskerville" w:cs="Baskerville"/>
                <w:b/>
                <w:bCs/>
                <w:spacing w:val="2"/>
                <w:sz w:val="28"/>
                <w:szCs w:val="28"/>
              </w:rPr>
              <w:t>Title</w:t>
            </w:r>
          </w:p>
        </w:tc>
        <w:tc>
          <w:tcPr>
            <w:tcW w:w="7214" w:type="dxa"/>
            <w:gridSpan w:val="2"/>
            <w:vAlign w:val="top"/>
          </w:tcPr>
          <w:p w14:paraId="55AD5F2A">
            <w:pPr>
              <w:spacing w:line="275" w:lineRule="auto"/>
              <w:rPr>
                <w:rFonts w:ascii="Arial"/>
                <w:sz w:val="21"/>
              </w:rPr>
            </w:pPr>
          </w:p>
          <w:p w14:paraId="79B52C02">
            <w:pPr>
              <w:keepNext w:val="0"/>
              <w:keepLines w:val="0"/>
              <w:widowControl/>
              <w:suppressLineNumbers w:val="0"/>
              <w:spacing w:line="360" w:lineRule="auto"/>
              <w:jc w:val="left"/>
              <w:rPr>
                <w:rFonts w:ascii="Baskerville" w:hAnsi="Baskerville" w:eastAsia="Baskerville" w:cs="Baskerville"/>
                <w:sz w:val="24"/>
                <w:szCs w:val="24"/>
              </w:rPr>
            </w:pPr>
            <w:r>
              <w:rPr>
                <w:rFonts w:hint="default" w:ascii="Times New Roman Bold" w:hAnsi="Times New Roman Bold" w:eastAsia="宋体" w:cs="Times New Roman Bold"/>
                <w:b/>
                <w:bCs w:val="0"/>
                <w:snapToGrid w:val="0"/>
                <w:color w:val="000000"/>
                <w:kern w:val="0"/>
                <w:sz w:val="32"/>
                <w:szCs w:val="32"/>
                <w:lang w:val="en-US" w:eastAsia="zh-CN" w:bidi="ar"/>
              </w:rPr>
              <w:t>Stereociliary localization and function of PCDH15 is regulated by its interaction with Nherf1</w:t>
            </w:r>
            <w:r>
              <w:rPr>
                <w:rFonts w:hint="default" w:ascii="Times New Roman Bold" w:hAnsi="Times New Roman Bold" w:eastAsia="宋体" w:cs="Times New Roman Bold"/>
                <w:b/>
                <w:bCs w:val="0"/>
                <w:snapToGrid w:val="0"/>
                <w:color w:val="000000"/>
                <w:kern w:val="2"/>
                <w:sz w:val="32"/>
                <w:szCs w:val="32"/>
                <w:lang w:val="en-US" w:eastAsia="zh-CN" w:bidi="ar"/>
              </w:rPr>
              <w:t xml:space="preserve"> </w:t>
            </w:r>
          </w:p>
        </w:tc>
      </w:tr>
      <w:tr w14:paraId="5F877B69">
        <w:trPr>
          <w:trHeight w:val="4495" w:hRule="atLeast"/>
        </w:trPr>
        <w:tc>
          <w:tcPr>
            <w:tcW w:w="2125" w:type="dxa"/>
            <w:vAlign w:val="top"/>
          </w:tcPr>
          <w:p w14:paraId="48FA5333">
            <w:pPr>
              <w:spacing w:line="253" w:lineRule="auto"/>
              <w:rPr>
                <w:rFonts w:ascii="Arial"/>
                <w:sz w:val="21"/>
              </w:rPr>
            </w:pPr>
          </w:p>
          <w:p w14:paraId="1B1E9E4A">
            <w:pPr>
              <w:spacing w:line="253" w:lineRule="auto"/>
              <w:rPr>
                <w:rFonts w:ascii="Arial"/>
                <w:sz w:val="21"/>
              </w:rPr>
            </w:pPr>
          </w:p>
          <w:p w14:paraId="2E1872C3">
            <w:pPr>
              <w:spacing w:line="254" w:lineRule="auto"/>
              <w:rPr>
                <w:rFonts w:ascii="Arial"/>
                <w:sz w:val="21"/>
              </w:rPr>
            </w:pPr>
          </w:p>
          <w:p w14:paraId="24D16EF8">
            <w:pPr>
              <w:spacing w:line="254" w:lineRule="auto"/>
              <w:rPr>
                <w:rFonts w:ascii="Arial"/>
                <w:sz w:val="21"/>
              </w:rPr>
            </w:pPr>
          </w:p>
          <w:p w14:paraId="18047E5F">
            <w:pPr>
              <w:spacing w:line="254" w:lineRule="auto"/>
              <w:rPr>
                <w:rFonts w:ascii="Arial"/>
                <w:sz w:val="21"/>
              </w:rPr>
            </w:pPr>
          </w:p>
          <w:p w14:paraId="659EBFD4">
            <w:pPr>
              <w:spacing w:line="254" w:lineRule="auto"/>
              <w:rPr>
                <w:rFonts w:ascii="Arial"/>
                <w:sz w:val="21"/>
              </w:rPr>
            </w:pPr>
          </w:p>
          <w:p w14:paraId="39F229BB">
            <w:pPr>
              <w:spacing w:line="254" w:lineRule="auto"/>
              <w:rPr>
                <w:rFonts w:ascii="Arial"/>
                <w:sz w:val="21"/>
              </w:rPr>
            </w:pPr>
          </w:p>
          <w:p w14:paraId="4369BBC1">
            <w:pPr>
              <w:spacing w:line="254" w:lineRule="auto"/>
              <w:rPr>
                <w:rFonts w:ascii="Arial"/>
                <w:sz w:val="21"/>
              </w:rPr>
            </w:pPr>
          </w:p>
          <w:p w14:paraId="23C908E0">
            <w:pPr>
              <w:spacing w:line="254" w:lineRule="auto"/>
              <w:rPr>
                <w:rFonts w:ascii="Arial"/>
                <w:sz w:val="21"/>
              </w:rPr>
            </w:pPr>
          </w:p>
          <w:p w14:paraId="1B6A7D13">
            <w:pPr>
              <w:spacing w:before="91" w:line="225" w:lineRule="auto"/>
              <w:ind w:left="539"/>
              <w:rPr>
                <w:rFonts w:ascii="Baskerville" w:hAnsi="Baskerville" w:eastAsia="Baskerville" w:cs="Baskerville"/>
                <w:sz w:val="28"/>
                <w:szCs w:val="28"/>
              </w:rPr>
            </w:pPr>
            <w:r>
              <w:rPr>
                <w:rFonts w:ascii="Baskerville" w:hAnsi="Baskerville" w:eastAsia="Baskerville" w:cs="Baskerville"/>
                <w:b/>
                <w:bCs/>
                <w:spacing w:val="9"/>
                <w:sz w:val="28"/>
                <w:szCs w:val="28"/>
              </w:rPr>
              <w:t>Abstract</w:t>
            </w:r>
          </w:p>
        </w:tc>
        <w:tc>
          <w:tcPr>
            <w:tcW w:w="7214" w:type="dxa"/>
            <w:gridSpan w:val="2"/>
            <w:vAlign w:val="top"/>
          </w:tcPr>
          <w:p w14:paraId="06B6AC44">
            <w:pPr>
              <w:keepNext w:val="0"/>
              <w:keepLines w:val="0"/>
              <w:widowControl/>
              <w:suppressLineNumbers w:val="0"/>
              <w:spacing w:before="0" w:beforeAutospacing="0" w:after="0" w:afterAutospacing="0" w:line="360" w:lineRule="auto"/>
              <w:ind w:left="0" w:right="0"/>
              <w:jc w:val="both"/>
              <w:rPr>
                <w:rFonts w:hint="default" w:ascii="Times New Roman Regular" w:hAnsi="Times New Roman Regular" w:eastAsia="宋体" w:cs="Times New Roman Regular"/>
                <w:i w:val="0"/>
                <w:snapToGrid w:val="0"/>
                <w:color w:val="000000"/>
                <w:kern w:val="0"/>
                <w:sz w:val="24"/>
                <w:szCs w:val="24"/>
                <w:lang w:val="en-US" w:eastAsia="zh-CN" w:bidi="ar"/>
              </w:rPr>
            </w:pPr>
            <w:r>
              <w:rPr>
                <w:rFonts w:hint="default" w:ascii="Times New Roman Regular" w:hAnsi="Times New Roman Regular" w:eastAsia="宋体" w:cs="Times New Roman Regular"/>
                <w:i w:val="0"/>
                <w:snapToGrid w:val="0"/>
                <w:color w:val="000000"/>
                <w:kern w:val="0"/>
                <w:sz w:val="24"/>
                <w:szCs w:val="24"/>
                <w:lang w:val="en-US" w:eastAsia="zh-CN" w:bidi="ar"/>
              </w:rPr>
              <w:t>Sensory hair cells each form an apical stereociliary hair bundle—a staircase-like array of actin-based stereocilia that serves as the mechanotransduction organelle throughout the organism’s lifetime. To achieve this, the hair bundle must precisely organize and maintain its structural, motor, and adhesion machinery across distinct rows. Yet, the mechanisms controlling this spatial and quantitative regulation remain largely unknown. Our study addresses this question for the CD2 isoform of PCDH15, which is essential for tip-link function and hearing.</w:t>
            </w:r>
          </w:p>
          <w:p w14:paraId="77458996">
            <w:pPr>
              <w:keepNext w:val="0"/>
              <w:keepLines w:val="0"/>
              <w:widowControl/>
              <w:suppressLineNumbers w:val="0"/>
              <w:spacing w:before="0" w:beforeAutospacing="0" w:after="0" w:afterAutospacing="0" w:line="360" w:lineRule="auto"/>
              <w:ind w:left="0" w:right="0"/>
              <w:jc w:val="both"/>
              <w:rPr>
                <w:rFonts w:hint="default" w:ascii="Times New Roman Regular" w:hAnsi="Times New Roman Regular" w:eastAsia="宋体" w:cs="Times New Roman Regular"/>
                <w:i w:val="0"/>
                <w:snapToGrid w:val="0"/>
                <w:color w:val="000000"/>
                <w:kern w:val="0"/>
                <w:sz w:val="24"/>
                <w:szCs w:val="24"/>
                <w:lang w:val="en-US" w:eastAsia="zh-CN" w:bidi="ar"/>
              </w:rPr>
            </w:pPr>
          </w:p>
          <w:p w14:paraId="01836C42">
            <w:pPr>
              <w:keepNext w:val="0"/>
              <w:keepLines w:val="0"/>
              <w:widowControl/>
              <w:suppressLineNumbers w:val="0"/>
              <w:spacing w:before="0" w:beforeAutospacing="0" w:after="0" w:afterAutospacing="0" w:line="360" w:lineRule="auto"/>
              <w:ind w:left="0" w:right="0"/>
              <w:jc w:val="both"/>
            </w:pPr>
            <w:r>
              <w:rPr>
                <w:rFonts w:hint="default" w:ascii="Times New Roman Regular" w:hAnsi="Times New Roman Regular" w:eastAsia="宋体" w:cs="Times New Roman Regular"/>
                <w:i w:val="0"/>
                <w:snapToGrid w:val="0"/>
                <w:color w:val="000000"/>
                <w:kern w:val="0"/>
                <w:sz w:val="24"/>
                <w:szCs w:val="24"/>
                <w:lang w:val="en-US" w:eastAsia="zh-CN" w:bidi="ar"/>
              </w:rPr>
              <w:t>Through affinity purification–mass spectrometry followed by in vitro binding assays, we identified NHERF-1 and -2 as direct binding partners of CD2. The interaction occurs between the PDZ1 domain of NHERF-1 and the C-terminal PDZ-binding motif (PBM) of CD2 and is gated by PBM phosphorylation. We identified three phosphorylation sites in the CD2 cytoplasmic tail using mass spectrometry, and went on to show that mutations of these phosphorylation sites abolished NHERF-1 binding in vitro. Importantly, we generated </w:t>
            </w:r>
            <w:r>
              <w:rPr>
                <w:rFonts w:hint="default" w:ascii="Times New Roman Regular" w:hAnsi="Times New Roman Regular" w:eastAsia="宋体" w:cs="Times New Roman Regular"/>
                <w:i w:val="0"/>
                <w:iCs/>
                <w:snapToGrid w:val="0"/>
                <w:color w:val="000000"/>
                <w:kern w:val="0"/>
                <w:sz w:val="24"/>
                <w:szCs w:val="24"/>
                <w:lang w:val="en-US" w:eastAsia="zh-CN" w:bidi="ar"/>
              </w:rPr>
              <w:t>Pcdh15-CD2</w:t>
            </w:r>
            <w:r>
              <w:rPr>
                <w:rFonts w:hint="default" w:ascii="Times New Roman Regular" w:hAnsi="Times New Roman Regular" w:eastAsia="宋体" w:cs="Times New Roman Regular"/>
                <w:i w:val="0"/>
                <w:snapToGrid w:val="0"/>
                <w:color w:val="000000"/>
                <w:kern w:val="0"/>
                <w:sz w:val="24"/>
                <w:szCs w:val="24"/>
                <w:lang w:val="en-US" w:eastAsia="zh-CN" w:bidi="ar"/>
              </w:rPr>
              <w:t> knock-in mice carrying the equivalent mutations (named CD24A), and together with NHERF-1-knockout mice, demonstrated that CD2–NHERF-1 binding establishes the proper localization and abundance of CD2 in developing hair bundles. Strikingly, loss of this interaction in </w:t>
            </w:r>
            <w:r>
              <w:rPr>
                <w:rFonts w:hint="default" w:ascii="Times New Roman Regular" w:hAnsi="Times New Roman Regular" w:eastAsia="宋体" w:cs="Times New Roman Regular"/>
                <w:i w:val="0"/>
                <w:iCs/>
                <w:snapToGrid w:val="0"/>
                <w:color w:val="000000"/>
                <w:kern w:val="0"/>
                <w:sz w:val="24"/>
                <w:szCs w:val="24"/>
                <w:lang w:val="en-US" w:eastAsia="zh-CN" w:bidi="ar"/>
              </w:rPr>
              <w:t>CD2-4A/4A</w:t>
            </w:r>
            <w:r>
              <w:rPr>
                <w:rFonts w:hint="default" w:ascii="Times New Roman Regular" w:hAnsi="Times New Roman Regular" w:eastAsia="宋体" w:cs="Times New Roman Regular"/>
                <w:i w:val="0"/>
                <w:snapToGrid w:val="0"/>
                <w:color w:val="000000"/>
                <w:kern w:val="0"/>
                <w:sz w:val="24"/>
                <w:szCs w:val="24"/>
                <w:lang w:val="en-US" w:eastAsia="zh-CN" w:bidi="ar"/>
              </w:rPr>
              <w:t> mice leaves early bundle morphogenesis and mechanotransduction intact but drives progressive high-frequency hearing loss and targeted degeneration of the shortest stereocilia row. Together, these findings reveal that while the CD2–NHERF-1 interaction is dispensable for hair bundle assembly, it is essential for maintaining the lifelong structural integrity of the shortest stereocilia row.</w:t>
            </w:r>
          </w:p>
        </w:tc>
      </w:tr>
      <w:tr w14:paraId="41184657">
        <w:trPr>
          <w:trHeight w:val="7358" w:hRule="atLeast"/>
        </w:trPr>
        <w:tc>
          <w:tcPr>
            <w:tcW w:w="2125" w:type="dxa"/>
            <w:vAlign w:val="center"/>
          </w:tcPr>
          <w:p w14:paraId="56FB7CC9">
            <w:pPr>
              <w:spacing w:before="91" w:line="225" w:lineRule="auto"/>
              <w:jc w:val="center"/>
              <w:rPr>
                <w:rFonts w:ascii="Baskerville" w:hAnsi="Baskerville" w:eastAsia="Baskerville" w:cs="Baskerville"/>
                <w:b/>
                <w:bCs/>
                <w:spacing w:val="9"/>
                <w:sz w:val="28"/>
                <w:szCs w:val="28"/>
              </w:rPr>
            </w:pPr>
            <w:r>
              <w:rPr>
                <w:rFonts w:ascii="Baskerville" w:hAnsi="Baskerville" w:eastAsia="Baskerville" w:cs="Baskerville"/>
                <w:b/>
                <w:bCs/>
                <w:spacing w:val="6"/>
                <w:sz w:val="28"/>
                <w:szCs w:val="28"/>
              </w:rPr>
              <w:t>Biography</w:t>
            </w:r>
          </w:p>
        </w:tc>
        <w:tc>
          <w:tcPr>
            <w:tcW w:w="7214" w:type="dxa"/>
            <w:gridSpan w:val="2"/>
            <w:vAlign w:val="top"/>
          </w:tcPr>
          <w:p w14:paraId="573EEF41">
            <w:pPr>
              <w:keepNext w:val="0"/>
              <w:keepLines w:val="0"/>
              <w:widowControl/>
              <w:suppressLineNumbers w:val="0"/>
              <w:spacing w:before="0" w:beforeAutospacing="0" w:after="0" w:afterAutospacing="0" w:line="360" w:lineRule="auto"/>
              <w:ind w:left="0" w:right="0"/>
              <w:jc w:val="both"/>
              <w:rPr>
                <w:rFonts w:hint="default" w:ascii="Times New Roman Regular" w:hAnsi="Times New Roman Regular" w:eastAsia="宋体" w:cs="Times New Roman Regular"/>
                <w:snapToGrid w:val="0"/>
                <w:color w:val="000000"/>
                <w:kern w:val="0"/>
                <w:sz w:val="24"/>
                <w:szCs w:val="24"/>
                <w:lang w:val="en-US" w:eastAsia="zh-CN" w:bidi="ar"/>
              </w:rPr>
            </w:pPr>
            <w:r>
              <w:rPr>
                <w:rFonts w:hint="default" w:ascii="Times New Roman Regular" w:hAnsi="Times New Roman Regular" w:eastAsia="宋体" w:cs="Times New Roman Regular"/>
                <w:snapToGrid w:val="0"/>
                <w:color w:val="000000"/>
                <w:kern w:val="0"/>
                <w:sz w:val="24"/>
                <w:szCs w:val="24"/>
                <w:lang w:val="en-US" w:eastAsia="zh-CN" w:bidi="ar"/>
              </w:rPr>
              <w:t>Xiaowei Lu, Ph.D. is a Professor in the Department of Cell Biology at the University of Virginia (UVA). She received her B.S. in Biochemistry from Peking University and her Ph.D. in Biology from MIT, where she worked with Dr. H. Robert Horvitz. She then completed postdoctoral training with Dr. Marc Tessier-Lavigne at UCSF. In 2005, she joined the faculty in the Department of Cell Biology at UVA and was promoted to full professor in 2022. Her current research interests include Wnt/PCP signaling in inner ear development, Mouse models for human deafness, and Wnt/PCP signaling in neural tube closure. </w:t>
            </w:r>
          </w:p>
          <w:p w14:paraId="61AB0630">
            <w:pPr>
              <w:keepNext w:val="0"/>
              <w:keepLines w:val="0"/>
              <w:widowControl/>
              <w:suppressLineNumbers w:val="0"/>
              <w:spacing w:before="0" w:beforeAutospacing="0" w:after="0" w:afterAutospacing="0" w:line="360" w:lineRule="auto"/>
              <w:ind w:left="0" w:right="0"/>
              <w:jc w:val="both"/>
              <w:rPr>
                <w:rFonts w:hint="default" w:ascii="Times New Roman Bold" w:hAnsi="Times New Roman Bold" w:eastAsia="宋体" w:cs="Times New Roman Bold"/>
                <w:b/>
                <w:bCs/>
                <w:snapToGrid w:val="0"/>
                <w:color w:val="000000"/>
                <w:kern w:val="0"/>
                <w:sz w:val="24"/>
                <w:szCs w:val="24"/>
                <w:lang w:val="en-US" w:eastAsia="zh-CN" w:bidi="ar"/>
              </w:rPr>
            </w:pPr>
            <w:r>
              <w:rPr>
                <w:rFonts w:hint="default" w:ascii="Times New Roman Bold" w:hAnsi="Times New Roman Bold" w:eastAsia="宋体" w:cs="Times New Roman Bold"/>
                <w:b/>
                <w:bCs/>
                <w:snapToGrid w:val="0"/>
                <w:color w:val="000000"/>
                <w:kern w:val="0"/>
                <w:sz w:val="24"/>
                <w:szCs w:val="24"/>
                <w:lang w:val="en-US" w:eastAsia="zh-CN" w:bidi="ar"/>
              </w:rPr>
              <w:t>Honors and Awards</w:t>
            </w:r>
          </w:p>
          <w:p w14:paraId="4A695C5C">
            <w:pPr>
              <w:keepNext w:val="0"/>
              <w:keepLines w:val="0"/>
              <w:widowControl/>
              <w:suppressLineNumbers w:val="0"/>
              <w:spacing w:before="0" w:beforeAutospacing="0" w:after="0" w:afterAutospacing="0" w:line="360" w:lineRule="auto"/>
              <w:ind w:left="0" w:right="0"/>
              <w:jc w:val="both"/>
              <w:rPr>
                <w:rFonts w:hint="default" w:ascii="Times New Roman Regular" w:hAnsi="Times New Roman Regular" w:eastAsia="宋体" w:cs="Times New Roman Regular"/>
                <w:snapToGrid w:val="0"/>
                <w:color w:val="000000"/>
                <w:kern w:val="0"/>
                <w:sz w:val="24"/>
                <w:szCs w:val="24"/>
                <w:lang w:val="en-US" w:eastAsia="zh-CN" w:bidi="ar"/>
              </w:rPr>
            </w:pPr>
            <w:r>
              <w:rPr>
                <w:rFonts w:hint="default" w:ascii="Times New Roman Regular" w:hAnsi="Times New Roman Regular" w:eastAsia="宋体" w:cs="Times New Roman Regular"/>
                <w:snapToGrid w:val="0"/>
                <w:color w:val="000000"/>
                <w:kern w:val="0"/>
                <w:sz w:val="24"/>
                <w:szCs w:val="24"/>
                <w:lang w:val="en-US" w:eastAsia="zh-CN" w:bidi="ar"/>
              </w:rPr>
              <w:t>Harrison Distinguished Teaching Professor in Cell Biology (2025-2030)</w:t>
            </w:r>
          </w:p>
          <w:p w14:paraId="387DCCE0">
            <w:pPr>
              <w:keepNext w:val="0"/>
              <w:keepLines w:val="0"/>
              <w:widowControl/>
              <w:suppressLineNumbers w:val="0"/>
              <w:spacing w:before="0" w:beforeAutospacing="0" w:after="0" w:afterAutospacing="0" w:line="360" w:lineRule="auto"/>
              <w:ind w:left="0" w:right="0"/>
              <w:jc w:val="both"/>
              <w:rPr>
                <w:rFonts w:hint="default" w:ascii="Times New Roman Regular" w:hAnsi="Times New Roman Regular" w:eastAsia="宋体" w:cs="Times New Roman Regular"/>
                <w:snapToGrid w:val="0"/>
                <w:color w:val="000000"/>
                <w:kern w:val="0"/>
                <w:sz w:val="24"/>
                <w:szCs w:val="24"/>
                <w:lang w:val="en-US" w:eastAsia="zh-CN" w:bidi="ar"/>
              </w:rPr>
            </w:pPr>
            <w:r>
              <w:rPr>
                <w:rFonts w:hint="default" w:ascii="Times New Roman Regular" w:hAnsi="Times New Roman Regular" w:eastAsia="宋体" w:cs="Times New Roman Regular"/>
                <w:snapToGrid w:val="0"/>
                <w:color w:val="000000"/>
                <w:kern w:val="0"/>
                <w:sz w:val="24"/>
                <w:szCs w:val="24"/>
                <w:lang w:val="en-US" w:eastAsia="zh-CN" w:bidi="ar"/>
              </w:rPr>
              <w:t>UVA SoM Pinn Scholar Award (2023-2026)</w:t>
            </w:r>
          </w:p>
          <w:p w14:paraId="35423490">
            <w:pPr>
              <w:keepNext w:val="0"/>
              <w:keepLines w:val="0"/>
              <w:widowControl/>
              <w:suppressLineNumbers w:val="0"/>
              <w:spacing w:before="0" w:beforeAutospacing="0" w:after="0" w:afterAutospacing="0" w:line="360" w:lineRule="auto"/>
              <w:ind w:left="0" w:right="0"/>
              <w:jc w:val="both"/>
              <w:rPr>
                <w:rFonts w:hint="default" w:ascii="Times New Roman Regular" w:hAnsi="Times New Roman Regular" w:eastAsia="宋体" w:cs="Times New Roman Regular"/>
                <w:snapToGrid w:val="0"/>
                <w:color w:val="000000"/>
                <w:kern w:val="0"/>
                <w:sz w:val="24"/>
                <w:szCs w:val="24"/>
                <w:lang w:val="en-US" w:eastAsia="zh-CN" w:bidi="ar"/>
              </w:rPr>
            </w:pPr>
            <w:r>
              <w:rPr>
                <w:rFonts w:hint="default" w:ascii="Times New Roman Regular" w:hAnsi="Times New Roman Regular" w:eastAsia="宋体" w:cs="Times New Roman Regular"/>
                <w:snapToGrid w:val="0"/>
                <w:color w:val="000000"/>
                <w:kern w:val="0"/>
                <w:sz w:val="24"/>
                <w:szCs w:val="24"/>
                <w:lang w:val="en-US" w:eastAsia="zh-CN" w:bidi="ar"/>
              </w:rPr>
              <w:t>March of Dimes Basil O’Connor Starter Scholar Research Award (2007-2009)</w:t>
            </w:r>
          </w:p>
          <w:p w14:paraId="4A6B1532">
            <w:pPr>
              <w:keepNext w:val="0"/>
              <w:keepLines w:val="0"/>
              <w:widowControl/>
              <w:suppressLineNumbers w:val="0"/>
              <w:spacing w:before="0" w:beforeAutospacing="0" w:after="0" w:afterAutospacing="0" w:line="360" w:lineRule="auto"/>
              <w:ind w:left="0" w:right="0"/>
              <w:jc w:val="both"/>
              <w:rPr>
                <w:rFonts w:hint="default" w:ascii="Times New Roman Regular" w:hAnsi="Times New Roman Regular" w:eastAsia="宋体" w:cs="Times New Roman Regular"/>
                <w:snapToGrid w:val="0"/>
                <w:color w:val="000000"/>
                <w:kern w:val="0"/>
                <w:sz w:val="24"/>
                <w:szCs w:val="24"/>
                <w:lang w:val="en-US" w:eastAsia="zh-CN" w:bidi="ar"/>
              </w:rPr>
            </w:pPr>
            <w:r>
              <w:rPr>
                <w:rFonts w:hint="default" w:ascii="Times New Roman Regular" w:hAnsi="Times New Roman Regular" w:eastAsia="宋体" w:cs="Times New Roman Regular"/>
                <w:snapToGrid w:val="0"/>
                <w:color w:val="000000"/>
                <w:kern w:val="0"/>
                <w:sz w:val="24"/>
                <w:szCs w:val="24"/>
                <w:lang w:val="en-US" w:eastAsia="zh-CN" w:bidi="ar"/>
              </w:rPr>
              <w:t>UVA Fund for Excellence in Science and Technology (FEST) Distinguished Young Investigator Award (2006) </w:t>
            </w:r>
          </w:p>
          <w:p w14:paraId="1D12B22E">
            <w:pPr>
              <w:keepNext w:val="0"/>
              <w:keepLines w:val="0"/>
              <w:widowControl/>
              <w:suppressLineNumbers w:val="0"/>
              <w:spacing w:before="0" w:beforeAutospacing="0" w:after="0" w:afterAutospacing="0" w:line="360" w:lineRule="auto"/>
              <w:ind w:left="0" w:right="0"/>
              <w:jc w:val="both"/>
              <w:rPr>
                <w:rFonts w:hint="default" w:ascii="Times New Roman Regular" w:hAnsi="Times New Roman Regular" w:eastAsia="宋体" w:cs="Times New Roman Regular"/>
                <w:snapToGrid w:val="0"/>
                <w:color w:val="000000"/>
                <w:kern w:val="0"/>
                <w:sz w:val="24"/>
                <w:szCs w:val="24"/>
                <w:lang w:val="en-US" w:eastAsia="zh-CN" w:bidi="ar"/>
              </w:rPr>
            </w:pPr>
            <w:r>
              <w:rPr>
                <w:rFonts w:hint="default" w:ascii="Times New Roman Regular" w:hAnsi="Times New Roman Regular" w:eastAsia="宋体" w:cs="Times New Roman Regular"/>
                <w:snapToGrid w:val="0"/>
                <w:color w:val="000000"/>
                <w:kern w:val="0"/>
                <w:sz w:val="24"/>
                <w:szCs w:val="24"/>
                <w:lang w:val="en-US" w:eastAsia="zh-CN" w:bidi="ar"/>
              </w:rPr>
              <w:t>Fellow of the Damon Runyon Cancer Research Foundation (2000-2003)</w:t>
            </w:r>
          </w:p>
          <w:p w14:paraId="1D808F48">
            <w:pPr>
              <w:keepNext w:val="0"/>
              <w:keepLines w:val="0"/>
              <w:widowControl/>
              <w:suppressLineNumbers w:val="0"/>
              <w:spacing w:before="0" w:beforeAutospacing="0" w:after="0" w:afterAutospacing="0" w:line="360" w:lineRule="auto"/>
              <w:ind w:left="0" w:right="0"/>
              <w:jc w:val="both"/>
              <w:rPr>
                <w:rFonts w:hint="default" w:ascii="Times New Roman Regular" w:hAnsi="Times New Roman Regular" w:eastAsia="宋体" w:cs="Times New Roman Regular"/>
                <w:i w:val="0"/>
                <w:snapToGrid w:val="0"/>
                <w:color w:val="000000"/>
                <w:kern w:val="0"/>
                <w:sz w:val="24"/>
                <w:szCs w:val="24"/>
                <w:lang w:val="en-US" w:eastAsia="zh-CN" w:bidi="ar"/>
              </w:rPr>
            </w:pPr>
            <w:r>
              <w:rPr>
                <w:rFonts w:hint="default" w:ascii="Times New Roman Regular" w:hAnsi="Times New Roman Regular" w:eastAsia="宋体" w:cs="Times New Roman Regular"/>
                <w:snapToGrid w:val="0"/>
                <w:color w:val="000000"/>
                <w:kern w:val="0"/>
                <w:sz w:val="24"/>
                <w:szCs w:val="24"/>
                <w:lang w:val="en-US" w:eastAsia="zh-CN" w:bidi="ar"/>
              </w:rPr>
              <w:t>Peking University Outstanding Student Award (1990)</w:t>
            </w:r>
          </w:p>
        </w:tc>
      </w:tr>
    </w:tbl>
    <w:p w14:paraId="47424B45">
      <w:pPr>
        <w:rPr>
          <w:rFonts w:ascii="Arial" w:hAnsi="Arial" w:eastAsia="Arial" w:cs="Arial"/>
          <w:sz w:val="21"/>
          <w:szCs w:val="21"/>
        </w:rPr>
        <w:sectPr>
          <w:headerReference r:id="rId5" w:type="default"/>
          <w:footerReference r:id="rId6" w:type="default"/>
          <w:pgSz w:w="11907" w:h="16839"/>
          <w:pgMar w:top="1157" w:right="1294" w:bottom="1392" w:left="1279" w:header="841" w:footer="1115" w:gutter="0"/>
          <w:cols w:space="720" w:num="1"/>
        </w:sectPr>
      </w:pPr>
    </w:p>
    <w:p w14:paraId="60BC66E7">
      <w:pPr>
        <w:rPr>
          <w:rFonts w:ascii="Arial"/>
          <w:sz w:val="21"/>
        </w:rPr>
      </w:pPr>
      <w:bookmarkStart w:id="0" w:name="_GoBack"/>
      <w:bookmarkEnd w:id="0"/>
    </w:p>
    <w:sectPr>
      <w:footerReference r:id="rId7" w:type="default"/>
      <w:pgSz w:w="11907" w:h="16839"/>
      <w:pgMar w:top="1157" w:right="1294" w:bottom="1392" w:left="1279" w:header="841" w:footer="1115"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PingFang SC">
    <w:panose1 w:val="020B0400000000000000"/>
    <w:charset w:val="86"/>
    <w:family w:val="auto"/>
    <w:pitch w:val="default"/>
    <w:sig w:usb0="A00002FF" w:usb1="7ACFFDFB" w:usb2="00000017" w:usb3="00000000" w:csb0="00040001" w:csb1="00000000"/>
  </w:font>
  <w:font w:name="Baskerville">
    <w:panose1 w:val="02020502070401020303"/>
    <w:charset w:val="00"/>
    <w:family w:val="auto"/>
    <w:pitch w:val="default"/>
    <w:sig w:usb0="80000067" w:usb1="02000000" w:usb2="00000000" w:usb3="00000000" w:csb0="2000019F" w:csb1="00000000"/>
  </w:font>
  <w:font w:name="Arial Rounded MT Bold">
    <w:panose1 w:val="020F0704030504030204"/>
    <w:charset w:val="00"/>
    <w:family w:val="auto"/>
    <w:pitch w:val="default"/>
    <w:sig w:usb0="00000003" w:usb1="00000000" w:usb2="00000000" w:usb3="00000000" w:csb0="20000001" w:csb1="00000000"/>
  </w:font>
  <w:font w:name="汉仪中黑KW">
    <w:panose1 w:val="00020600040101010101"/>
    <w:charset w:val="86"/>
    <w:family w:val="auto"/>
    <w:pitch w:val="default"/>
    <w:sig w:usb0="A00002BF" w:usb1="18EF7CFA" w:usb2="00000016" w:usb3="00000000" w:csb0="00040000" w:csb1="00000000"/>
  </w:font>
  <w:font w:name="汉仪书宋二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 w:name="Baskerville Bold">
    <w:panose1 w:val="02020502070401020303"/>
    <w:charset w:val="00"/>
    <w:family w:val="auto"/>
    <w:pitch w:val="default"/>
    <w:sig w:usb0="80000067" w:usb1="02000000" w:usb2="00000000" w:usb3="00000000" w:csb0="2000019F" w:csb1="00000000"/>
  </w:font>
  <w:font w:name="@等线">
    <w:altName w:val="华文宋体"/>
    <w:panose1 w:val="02010600030101010101"/>
    <w:charset w:val="86"/>
    <w:family w:val="auto"/>
    <w:pitch w:val="variable"/>
    <w:sig w:usb0="A00002BF" w:usb1="38CF7CFA" w:usb2="00000016" w:usb3="00000000" w:csb0="0004000F" w:csb1="00000000"/>
  </w:font>
  <w:font w:name="@宋体">
    <w:altName w:val="汉仪书宋二KW"/>
    <w:panose1 w:val="02010600030101010101"/>
    <w:charset w:val="86"/>
    <w:family w:val="auto"/>
    <w:pitch w:val="variable"/>
    <w:sig w:usb0="00000203" w:usb1="288F0000" w:usb2="00000016" w:usb3="00000000" w:csb0="00040001" w:csb1="00000000"/>
  </w:font>
  <w:font w:name="Aptos">
    <w:altName w:val="Helvetica Neue"/>
    <w:panose1 w:val="020B0004020202020204"/>
    <w:charset w:val="00"/>
    <w:family w:val="auto"/>
    <w:pitch w:val="variable"/>
    <w:sig w:usb0="20000287" w:usb1="00000003" w:usb2="00000000" w:usb3="00000000" w:csb0="0000019F" w:csb1="00000000"/>
  </w:font>
  <w:font w:name="DengXian">
    <w:altName w:val="汉仪中等线KW"/>
    <w:panose1 w:val="02010600030101010101"/>
    <w:charset w:val="86"/>
    <w:family w:val="auto"/>
    <w:pitch w:val="variable"/>
    <w:sig w:usb0="A00002BF" w:usb1="38CF7CFA" w:usb2="00000016" w:usb3="00000000" w:csb0="0004000F" w:csb1="00000000"/>
  </w:font>
  <w:font w:name="Cambria Math">
    <w:altName w:val="Kingsoft Math"/>
    <w:panose1 w:val="02040503050406030204"/>
    <w:charset w:val="00"/>
    <w:family w:val="auto"/>
    <w:pitch w:val="variable"/>
    <w:sig w:usb0="E00002FF" w:usb1="420024FF" w:usb2="00000000" w:usb3="00000000" w:csb0="0000019F" w:csb1="00000000"/>
  </w:font>
  <w:font w:name="汉仪中等线KW">
    <w:panose1 w:val="01010104010101010101"/>
    <w:charset w:val="86"/>
    <w:family w:val="auto"/>
    <w:pitch w:val="default"/>
    <w:sig w:usb0="800002BF" w:usb1="004F7CFA" w:usb2="00000000" w:usb3="00000000" w:csb0="00040001" w:csb1="00000000"/>
  </w:font>
  <w:font w:name="Helvetica Neue">
    <w:panose1 w:val="02000503000000020004"/>
    <w:charset w:val="00"/>
    <w:family w:val="auto"/>
    <w:pitch w:val="default"/>
    <w:sig w:usb0="E50002FF" w:usb1="500079DB" w:usb2="00000010" w:usb3="00000000" w:csb0="00000000" w:csb1="00000000"/>
  </w:font>
  <w:font w:name="华文宋体">
    <w:panose1 w:val="02010600040101010101"/>
    <w:charset w:val="86"/>
    <w:family w:val="auto"/>
    <w:pitch w:val="default"/>
    <w:sig w:usb0="80000287" w:usb1="280F3C52" w:usb2="00000016" w:usb3="00000000" w:csb0="0004001F" w:csb1="00000000"/>
  </w:font>
  <w:font w:name="Kingsoft Math">
    <w:panose1 w:val="02040503050406030204"/>
    <w:charset w:val="00"/>
    <w:family w:val="auto"/>
    <w:pitch w:val="default"/>
    <w:sig w:usb0="80000087" w:usb1="00002068" w:usb2="00000000" w:usb3="00000000" w:csb0="2000019F" w:csb1="00000000"/>
  </w:font>
  <w:font w:name="BIZ UDMincho">
    <w:panose1 w:val="02020400000000000000"/>
    <w:charset w:val="80"/>
    <w:family w:val="auto"/>
    <w:pitch w:val="default"/>
    <w:sig w:usb0="E00002F7" w:usb1="2AC7EDF8" w:usb2="00000012" w:usb3="00000000" w:csb0="20020009" w:csb1="00000000"/>
  </w:font>
  <w:font w:name="Baghdad">
    <w:panose1 w:val="01000500000000020004"/>
    <w:charset w:val="00"/>
    <w:family w:val="auto"/>
    <w:pitch w:val="default"/>
    <w:sig w:usb0="80002003" w:usb1="80000000" w:usb2="00000008" w:usb3="00000000" w:csb0="00000000" w:csb1="00000000"/>
  </w:font>
  <w:font w:name="BM Dohyeon">
    <w:panose1 w:val="020B0600000101010101"/>
    <w:charset w:val="81"/>
    <w:family w:val="auto"/>
    <w:pitch w:val="default"/>
    <w:sig w:usb0="00000203" w:usb1="21D12C10" w:usb2="00000010" w:usb3="00000000" w:csb0="00280005" w:csb1="00000000"/>
  </w:font>
  <w:font w:name="魏碑-繁">
    <w:panose1 w:val="03000800000000000000"/>
    <w:charset w:val="88"/>
    <w:family w:val="auto"/>
    <w:pitch w:val="default"/>
    <w:sig w:usb0="A00002FF" w:usb1="78CFFDFB" w:usb2="00000016" w:usb3="00000000" w:csb0="20120187" w:csb1="00000000"/>
  </w:font>
  <w:font w:name="Adelle Sans Devanagari Regular">
    <w:panose1 w:val="02000503000000020004"/>
    <w:charset w:val="00"/>
    <w:family w:val="auto"/>
    <w:pitch w:val="default"/>
    <w:sig w:usb0="0300A007" w:usb1="00000001" w:usb2="00000008" w:usb3="00000000" w:csb0="200100D3" w:csb1="00000000"/>
  </w:font>
  <w:font w:name="Avenir Book">
    <w:panose1 w:val="02000503020000020003"/>
    <w:charset w:val="00"/>
    <w:family w:val="auto"/>
    <w:pitch w:val="default"/>
    <w:sig w:usb0="800000AF" w:usb1="5000204A" w:usb2="00000000" w:usb3="00000000" w:csb0="0000009B" w:csb1="00000000"/>
  </w:font>
  <w:font w:name="Niramit Regular">
    <w:panose1 w:val="00000500000000000000"/>
    <w:charset w:val="00"/>
    <w:family w:val="auto"/>
    <w:pitch w:val="default"/>
    <w:sig w:usb0="21000007" w:usb1="00000001" w:usb2="00000000" w:usb3="00000000" w:csb0="20010193" w:csb1="00000000"/>
  </w:font>
  <w:font w:name="Tiro Gurmukhi Regular">
    <w:panose1 w:val="02000000000000000000"/>
    <w:charset w:val="00"/>
    <w:family w:val="auto"/>
    <w:pitch w:val="default"/>
    <w:sig w:usb0="A002806F" w:usb1="0000200A" w:usb2="00000000" w:usb3="00000000" w:csb0="00000001" w:csb1="00000000"/>
  </w:font>
  <w:font w:name="Trattatello">
    <w:panose1 w:val="020F0403020200020303"/>
    <w:charset w:val="00"/>
    <w:family w:val="auto"/>
    <w:pitch w:val="default"/>
    <w:sig w:usb0="00000001" w:usb1="00002000" w:usb2="00000000" w:usb3="00000000" w:csb0="2000019F" w:csb1="4F010000"/>
  </w:font>
  <w:font w:name="Toppan Bunkyu Midashi Mincho">
    <w:panose1 w:val="02020900000000000000"/>
    <w:charset w:val="80"/>
    <w:family w:val="auto"/>
    <w:pitch w:val="default"/>
    <w:sig w:usb0="00000003" w:usb1="2AC71C10" w:usb2="00000012" w:usb3="00000000" w:csb0="20020005" w:csb1="00000000"/>
  </w:font>
  <w:font w:name="Toppan Bunkyu Mincho">
    <w:panose1 w:val="02020400000000000000"/>
    <w:charset w:val="80"/>
    <w:family w:val="auto"/>
    <w:pitch w:val="default"/>
    <w:sig w:usb0="000002D7" w:usb1="2AC73C11" w:usb2="00000012" w:usb3="00000000" w:csb0="2002009F" w:csb1="00000000"/>
  </w:font>
  <w:font w:name="Tsukushi B Round Gothic Regular">
    <w:panose1 w:val="02020400000000000000"/>
    <w:charset w:val="80"/>
    <w:family w:val="auto"/>
    <w:pitch w:val="default"/>
    <w:sig w:usb0="00000003" w:usb1="0AC71C10" w:usb2="00000012" w:usb3="00000000" w:csb0="20020005" w:csb1="00000000"/>
  </w:font>
  <w:font w:name="Toppan Bunkyu Gothic Regular">
    <w:panose1 w:val="020B0600000000000000"/>
    <w:charset w:val="80"/>
    <w:family w:val="auto"/>
    <w:pitch w:val="default"/>
    <w:sig w:usb0="000002D7" w:usb1="2AC73C11" w:usb2="00000012" w:usb3="00000000" w:csb0="2002009F" w:csb1="00000000"/>
  </w:font>
  <w:font w:name="Tiro Devanagari Marathi Regular">
    <w:panose1 w:val="02000000000000000000"/>
    <w:charset w:val="00"/>
    <w:family w:val="auto"/>
    <w:pitch w:val="default"/>
    <w:sig w:usb0="00008003" w:usb1="00000000" w:usb2="00000000" w:usb3="00000000" w:csb0="00000001" w:csb1="00000000"/>
  </w:font>
  <w:font w:name="Tiro Devanagari Hindi Regular">
    <w:panose1 w:val="02000000000000000000"/>
    <w:charset w:val="00"/>
    <w:family w:val="auto"/>
    <w:pitch w:val="default"/>
    <w:sig w:usb0="A000806F" w:usb1="0000200A" w:usb2="00000000" w:usb3="00000000" w:csb0="00000001" w:csb1="00000000"/>
  </w:font>
  <w:font w:name="Tiro Bangla Regular">
    <w:panose1 w:val="02000000000000000000"/>
    <w:charset w:val="00"/>
    <w:family w:val="auto"/>
    <w:pitch w:val="default"/>
    <w:sig w:usb0="00018003" w:usb1="00000000" w:usb2="00000000" w:usb3="00000000" w:csb0="00000001" w:csb1="00000000"/>
  </w:font>
  <w:font w:name="Times New Roman Regular">
    <w:panose1 w:val="02020503050405090304"/>
    <w:charset w:val="00"/>
    <w:family w:val="auto"/>
    <w:pitch w:val="default"/>
    <w:sig w:usb0="E0000AFF" w:usb1="00007843" w:usb2="00000001" w:usb3="00000000" w:csb0="400001BF" w:csb1="DFF70000"/>
  </w:font>
  <w:font w:name="Times New Roman Bold">
    <w:panose1 w:val="02020503050405090304"/>
    <w:charset w:val="00"/>
    <w:family w:val="auto"/>
    <w:pitch w:val="default"/>
    <w:sig w:usb0="E0000AFF" w:usb1="00007843" w:usb2="00000001" w:usb3="00000000" w:csb0="400001BF" w:csb1="DFF70000"/>
  </w:font>
  <w:font w:name="Helvetica">
    <w:panose1 w:val="00000000000000000000"/>
    <w:charset w:val="00"/>
    <w:family w:val="auto"/>
    <w:pitch w:val="default"/>
    <w:sig w:usb0="E00002FF" w:usb1="5000785B" w:usb2="00000000" w:usb3="00000000" w:csb0="2000019F" w:csb1="4F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6CDB6">
    <w:pPr>
      <w:pStyle w:val="2"/>
      <w:spacing w:line="195" w:lineRule="auto"/>
      <w:ind w:left="4515"/>
      <w:rPr>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E60734">
    <w:pPr>
      <w:pStyle w:val="2"/>
      <w:spacing w:line="195" w:lineRule="auto"/>
      <w:ind w:left="4510"/>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49E92D">
    <w:pPr>
      <w:pStyle w:val="2"/>
      <w:spacing w:line="240" w:lineRule="auto"/>
      <w:ind w:firstLine="465" w:firstLineChars="150"/>
      <w:rPr>
        <w:rFonts w:ascii="Arial Rounded MT Bold" w:hAnsi="Arial Rounded MT Bold" w:eastAsia="Arial Rounded MT Bold" w:cs="Arial Rounded MT Bold"/>
        <w:sz w:val="18"/>
        <w:szCs w:val="18"/>
      </w:rPr>
    </w:pPr>
    <w:r>
      <w:pict>
        <v:shape id="_x0000_s2049" o:spid="_x0000_s2049" style="position:absolute;left:0pt;margin-left:88.45pt;margin-top:55.2pt;height:0.75pt;width:421.55pt;mso-position-horizontal-relative:page;mso-position-vertical-relative:page;z-index:251659264;mso-width-relative:page;mso-height-relative:page;" fillcolor="#000000" filled="t" stroked="f" coordsize="8431,15" o:allowincell="f" path="m0,14l8430,14,8430,0,0,0,0,14xe">
          <v:fill on="t" focussize="0,0"/>
          <v:stroke on="f"/>
          <v:imagedata o:title=""/>
          <o:lock v:ext="edit"/>
        </v:shape>
      </w:pict>
    </w:r>
    <w:r>
      <w:rPr>
        <w:spacing w:val="-14"/>
        <w:sz w:val="18"/>
        <w:szCs w:val="18"/>
      </w:rPr>
      <w:t>北京脑科学与类脑研究所</w:t>
    </w:r>
    <w:r>
      <w:rPr>
        <w:sz w:val="18"/>
        <w:szCs w:val="18"/>
      </w:rPr>
      <w:t xml:space="preserve">                              </w:t>
    </w:r>
    <w:r>
      <w:rPr>
        <w:rFonts w:hint="default"/>
        <w:sz w:val="18"/>
        <w:szCs w:val="18"/>
        <w:lang w:val="en-US"/>
      </w:rPr>
      <w:t xml:space="preserve">        </w:t>
    </w:r>
    <w:r>
      <w:rPr>
        <w:rFonts w:ascii="Arial Rounded MT Bold" w:hAnsi="Arial Rounded MT Bold" w:eastAsia="Arial Rounded MT Bold" w:cs="Arial Rounded MT Bold"/>
        <w:spacing w:val="-14"/>
        <w:sz w:val="18"/>
        <w:szCs w:val="18"/>
      </w:rPr>
      <w:t>Chinese</w:t>
    </w:r>
    <w:r>
      <w:rPr>
        <w:rFonts w:ascii="Arial Rounded MT Bold" w:hAnsi="Arial Rounded MT Bold" w:eastAsia="Arial Rounded MT Bold" w:cs="Arial Rounded MT Bold"/>
        <w:spacing w:val="25"/>
        <w:w w:val="102"/>
        <w:sz w:val="18"/>
        <w:szCs w:val="18"/>
      </w:rPr>
      <w:t xml:space="preserve"> </w:t>
    </w:r>
    <w:r>
      <w:rPr>
        <w:rFonts w:ascii="Arial Rounded MT Bold" w:hAnsi="Arial Rounded MT Bold" w:eastAsia="Arial Rounded MT Bold" w:cs="Arial Rounded MT Bold"/>
        <w:spacing w:val="-14"/>
        <w:sz w:val="18"/>
        <w:szCs w:val="18"/>
      </w:rPr>
      <w:t>Institute for</w:t>
    </w:r>
    <w:r>
      <w:rPr>
        <w:rFonts w:ascii="Arial Rounded MT Bold" w:hAnsi="Arial Rounded MT Bold" w:eastAsia="Arial Rounded MT Bold" w:cs="Arial Rounded MT Bold"/>
        <w:spacing w:val="10"/>
        <w:sz w:val="18"/>
        <w:szCs w:val="18"/>
      </w:rPr>
      <w:t xml:space="preserve"> </w:t>
    </w:r>
    <w:r>
      <w:rPr>
        <w:rFonts w:ascii="Arial Rounded MT Bold" w:hAnsi="Arial Rounded MT Bold" w:eastAsia="Arial Rounded MT Bold" w:cs="Arial Rounded MT Bold"/>
        <w:spacing w:val="-14"/>
        <w:sz w:val="18"/>
        <w:szCs w:val="18"/>
      </w:rPr>
      <w:t>Brain</w:t>
    </w:r>
    <w:r>
      <w:rPr>
        <w:rFonts w:ascii="Arial Rounded MT Bold" w:hAnsi="Arial Rounded MT Bold" w:eastAsia="Arial Rounded MT Bold" w:cs="Arial Rounded MT Bold"/>
        <w:spacing w:val="10"/>
        <w:sz w:val="18"/>
        <w:szCs w:val="18"/>
      </w:rPr>
      <w:t xml:space="preserve"> </w:t>
    </w:r>
    <w:r>
      <w:rPr>
        <w:rFonts w:ascii="Arial Rounded MT Bold" w:hAnsi="Arial Rounded MT Bold" w:eastAsia="Arial Rounded MT Bold" w:cs="Arial Rounded MT Bold"/>
        <w:spacing w:val="-14"/>
        <w:sz w:val="18"/>
        <w:szCs w:val="18"/>
      </w:rPr>
      <w:t>Researc</w:t>
    </w:r>
    <w:r>
      <w:rPr>
        <w:rFonts w:ascii="Arial Rounded MT Bold" w:hAnsi="Arial Rounded MT Bold" w:eastAsia="Arial Rounded MT Bold" w:cs="Arial Rounded MT Bold"/>
        <w:spacing w:val="-15"/>
        <w:sz w:val="18"/>
        <w:szCs w:val="18"/>
      </w:rPr>
      <w:t>h,</w:t>
    </w:r>
    <w:r>
      <w:rPr>
        <w:rFonts w:ascii="Arial Rounded MT Bold" w:hAnsi="Arial Rounded MT Bold" w:eastAsia="Arial Rounded MT Bold" w:cs="Arial Rounded MT Bold"/>
        <w:spacing w:val="12"/>
        <w:w w:val="101"/>
        <w:sz w:val="18"/>
        <w:szCs w:val="18"/>
      </w:rPr>
      <w:t xml:space="preserve"> </w:t>
    </w:r>
    <w:r>
      <w:rPr>
        <w:rFonts w:ascii="Arial Rounded MT Bold" w:hAnsi="Arial Rounded MT Bold" w:eastAsia="Arial Rounded MT Bold" w:cs="Arial Rounded MT Bold"/>
        <w:spacing w:val="-15"/>
        <w:sz w:val="18"/>
        <w:szCs w:val="18"/>
      </w:rPr>
      <w:t>Beijing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3"/>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balanceSingleByteDoubleByteWidth/>
    <w:ulTrailSpace/>
    <w:doNotExpandShiftReturn/>
    <w:adjustLineHeightInTable/>
    <w:doNotWrapTextWithPunct/>
    <w:doNotUseEastAsianBreakRules/>
    <w:useFELayout/>
    <w:compatSetting w:name="compatibilityMode" w:uri="http://schemas.microsoft.com/office/word" w:val="14"/>
  </w:compat>
  <w:rsids>
    <w:rsidRoot w:val="00000000"/>
    <w:rsid w:val="1FA7EAB5"/>
    <w:rsid w:val="36E6EC4E"/>
    <w:rsid w:val="65FF12A5"/>
    <w:rsid w:val="7AB432E7"/>
    <w:rsid w:val="7DDF3268"/>
    <w:rsid w:val="7EBE2745"/>
    <w:rsid w:val="7F7B420D"/>
    <w:rsid w:val="F3FEC0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pPr>
      <w:keepNext w:val="0"/>
      <w:keepLines w:val="0"/>
      <w:widowControl/>
      <w:suppressLineNumbers w:val="0"/>
      <w:spacing w:before="0" w:beforeAutospacing="0" w:after="160" w:afterAutospacing="0" w:line="276" w:lineRule="auto"/>
      <w:ind w:left="0" w:right="0"/>
    </w:pPr>
    <w:rPr>
      <w:rFonts w:hint="eastAsia" w:ascii="DengXian" w:hAnsi="DengXian" w:eastAsia="DengXian" w:cs="DengXian"/>
      <w:kern w:val="2"/>
      <w:sz w:val="22"/>
      <w:szCs w:val="24"/>
    </w:rPr>
    <w:tblPr>
      <w:tblCellMar>
        <w:top w:w="0" w:type="dxa"/>
        <w:left w:w="108" w:type="dxa"/>
        <w:bottom w:w="0" w:type="dxa"/>
        <w:right w:w="108" w:type="dxa"/>
      </w:tblCellMar>
    </w:tblPr>
  </w:style>
  <w:style w:type="paragraph" w:styleId="2">
    <w:name w:val="Body Text"/>
    <w:basedOn w:val="1"/>
    <w:semiHidden/>
    <w:qFormat/>
    <w:uiPriority w:val="0"/>
    <w:rPr>
      <w:rFonts w:ascii="PingFang SC" w:hAnsi="PingFang SC" w:eastAsia="PingFang SC" w:cs="PingFang SC"/>
      <w:sz w:val="31"/>
      <w:szCs w:val="3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Times New Roman" w:hAnsi="Times New Roman" w:eastAsia="Times New Roman" w:cs="Times New Roman"/>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Pages>
  <Words>455</Words>
  <Characters>2742</Characters>
  <TotalTime>12</TotalTime>
  <ScaleCrop>false</ScaleCrop>
  <LinksUpToDate>false</LinksUpToDate>
  <CharactersWithSpaces>3170</CharactersWithSpaces>
  <Application>WPS Office_12.1.21861.21861_F1E327BC-269C-435d-A152-05C5408002CA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2026-09-17T22:00:00Z</dcterms:created>
  <dc:creator>PC</dc:creator>
  <cp:lastModifiedBy>猪圆张</cp:lastModifiedBy>
  <dcterms:modified xsi:type="dcterms:W3CDTF">2026-10-06T09:40:29Z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2026-10-06T09:13:41Z</vt:filetime>
  </property>
  <property fmtid="{D5CDD505-2E9C-101B-9397-08002B2CF9AE}" pid="4" name="KSOProductBuildVer">
    <vt:lpwstr>2052-12.1.21861.21861</vt:lpwstr>
  </property>
  <property fmtid="{D5CDD505-2E9C-101B-9397-08002B2CF9AE}" pid="5" name="ICV">
    <vt:lpwstr>A56BF508398EF7AAF04DC46A5BC5A6BE_42</vt:lpwstr>
  </property>
</Properties>
</file>